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A5" w:rsidRDefault="007E1E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67.55pt;margin-top:291pt;width:0;height:119.25pt;z-index:251662336" o:connectortype="straight">
            <v:stroke endarrow="block"/>
          </v:shape>
        </w:pict>
      </w:r>
      <w:r>
        <w:rPr>
          <w:noProof/>
        </w:rPr>
        <w:pict>
          <v:shape id="_x0000_s2052" type="#_x0000_t32" style="position:absolute;left:0;text-align:left;margin-left:67.5pt;margin-top:118.5pt;width:.05pt;height:111.75pt;z-index:251660288" o:connectortype="straight">
            <v:stroke endarrow="block"/>
          </v:shape>
        </w:pict>
      </w:r>
      <w:r>
        <w:rPr>
          <w:noProof/>
        </w:rPr>
        <w:pict>
          <v:shape id="_x0000_s2051" type="#_x0000_t32" style="position:absolute;left:0;text-align:left;margin-left:153.75pt;margin-top:86.25pt;width:121.5pt;height:.75pt;z-index:251659264" o:connectortype="straight">
            <v:stroke endarrow="block"/>
          </v:shape>
        </w:pict>
      </w:r>
      <w:r>
        <w:rPr>
          <w:noProof/>
        </w:rPr>
        <w:pict>
          <v:shape id="_x0000_s2058" type="#_x0000_t32" style="position:absolute;left:0;text-align:left;margin-left:153.75pt;margin-top:261pt;width:286.5pt;height:0;z-index:251666432" o:connectortype="straight">
            <v:stroke endarrow="block"/>
          </v:shape>
        </w:pict>
      </w:r>
      <w:r>
        <w:rPr>
          <w:noProof/>
        </w:rPr>
        <w:pict>
          <v:roundrect id="_x0000_s2057" style="position:absolute;left:0;text-align:left;margin-left:440.25pt;margin-top:225.75pt;width:228.75pt;height:65.25pt;z-index:251665408" arcsize="10923f">
            <v:textbox style="mso-next-textbox:#_x0000_s2057">
              <w:txbxContent>
                <w:p w:rsidR="007E1EA5" w:rsidRDefault="007E1EA5" w:rsidP="007E1EA5">
                  <w:pPr>
                    <w:rPr>
                      <w:rFonts w:hint="eastAsia"/>
                    </w:rPr>
                  </w:pPr>
                </w:p>
                <w:p w:rsidR="007E1EA5" w:rsidRDefault="00C2614F" w:rsidP="007E1EA5">
                  <w:pPr>
                    <w:jc w:val="center"/>
                  </w:pPr>
                  <w:r>
                    <w:t>资金结算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6" style="position:absolute;left:0;text-align:left;margin-left:275.25pt;margin-top:55.5pt;width:388.5pt;height:65.25pt;z-index:251664384" arcsize="10923f">
            <v:textbox style="mso-next-textbox:#_x0000_s2056">
              <w:txbxContent>
                <w:p w:rsidR="007E1EA5" w:rsidRDefault="007E1EA5">
                  <w:pPr>
                    <w:rPr>
                      <w:rFonts w:hint="eastAsia"/>
                    </w:rPr>
                  </w:pPr>
                </w:p>
                <w:p w:rsidR="007E1EA5" w:rsidRDefault="007E1EA5" w:rsidP="007E1EA5">
                  <w:pPr>
                    <w:jc w:val="center"/>
                  </w:pPr>
                  <w:r>
                    <w:t>不符合提取条件的，告知理由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0" style="position:absolute;left:0;text-align:left;margin-left:-12pt;margin-top:55.5pt;width:165.75pt;height:63pt;z-index:251658240" arcsize="10923f">
            <v:textbox style="mso-next-textbox:#_x0000_s2050">
              <w:txbxContent>
                <w:p w:rsidR="007E1EA5" w:rsidRDefault="007E1EA5" w:rsidP="007E1EA5">
                  <w:pPr>
                    <w:jc w:val="center"/>
                    <w:rPr>
                      <w:rFonts w:hint="eastAsia"/>
                    </w:rPr>
                  </w:pPr>
                </w:p>
                <w:p w:rsidR="007E1EA5" w:rsidRDefault="007E1EA5" w:rsidP="007E1EA5">
                  <w:pPr>
                    <w:jc w:val="center"/>
                  </w:pPr>
                  <w:r>
                    <w:t>受理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3" style="position:absolute;left:0;text-align:left;margin-left:-12pt;margin-top:230.25pt;width:165.75pt;height:60.75pt;z-index:251661312" arcsize="10923f">
            <v:textbox style="mso-next-textbox:#_x0000_s2053">
              <w:txbxContent>
                <w:p w:rsidR="007E1EA5" w:rsidRDefault="007E1EA5" w:rsidP="007E1EA5">
                  <w:pPr>
                    <w:jc w:val="center"/>
                    <w:rPr>
                      <w:rFonts w:hint="eastAsia"/>
                    </w:rPr>
                  </w:pPr>
                </w:p>
                <w:p w:rsidR="007E1EA5" w:rsidRDefault="007E1EA5" w:rsidP="007E1EA5">
                  <w:pPr>
                    <w:jc w:val="center"/>
                  </w:pPr>
                  <w:r>
                    <w:t>初审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55" style="position:absolute;left:0;text-align:left;margin-left:-12pt;margin-top:410.25pt;width:165.75pt;height:61.5pt;z-index:251663360" arcsize="10923f">
            <v:textbox style="mso-next-textbox:#_x0000_s2055">
              <w:txbxContent>
                <w:p w:rsidR="007E1EA5" w:rsidRDefault="007E1EA5" w:rsidP="007E1EA5">
                  <w:pPr>
                    <w:jc w:val="center"/>
                    <w:rPr>
                      <w:rFonts w:hint="eastAsia"/>
                    </w:rPr>
                  </w:pPr>
                </w:p>
                <w:p w:rsidR="007E1EA5" w:rsidRDefault="007E1EA5" w:rsidP="007E1EA5">
                  <w:pPr>
                    <w:jc w:val="center"/>
                  </w:pPr>
                  <w:r>
                    <w:t>审批</w:t>
                  </w:r>
                </w:p>
              </w:txbxContent>
            </v:textbox>
          </v:roundrect>
        </w:pict>
      </w:r>
    </w:p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C2614F" w:rsidP="007E1EA5">
      <w:r>
        <w:rPr>
          <w:rFonts w:hint="eastAsia"/>
        </w:rPr>
        <w:t xml:space="preserve">          </w:t>
      </w:r>
      <w:r>
        <w:rPr>
          <w:rFonts w:hint="eastAsia"/>
        </w:rPr>
        <w:t>符</w:t>
      </w:r>
    </w:p>
    <w:p w:rsidR="007E1EA5" w:rsidRPr="007E1EA5" w:rsidRDefault="00C2614F" w:rsidP="007E1EA5">
      <w:r>
        <w:rPr>
          <w:rFonts w:hint="eastAsia"/>
        </w:rPr>
        <w:t xml:space="preserve">          </w:t>
      </w:r>
      <w:r>
        <w:rPr>
          <w:rFonts w:hint="eastAsia"/>
        </w:rPr>
        <w:t>合</w:t>
      </w:r>
    </w:p>
    <w:p w:rsidR="007E1EA5" w:rsidRPr="007E1EA5" w:rsidRDefault="00C2614F" w:rsidP="007E1EA5">
      <w:r>
        <w:rPr>
          <w:rFonts w:hint="eastAsia"/>
        </w:rPr>
        <w:t xml:space="preserve">          </w:t>
      </w:r>
      <w:r>
        <w:rPr>
          <w:rFonts w:hint="eastAsia"/>
        </w:rPr>
        <w:t>条</w:t>
      </w:r>
    </w:p>
    <w:p w:rsidR="007E1EA5" w:rsidRPr="007E1EA5" w:rsidRDefault="00C2614F" w:rsidP="007E1EA5">
      <w:r>
        <w:rPr>
          <w:rFonts w:hint="eastAsia"/>
        </w:rPr>
        <w:t xml:space="preserve">          </w:t>
      </w:r>
      <w:r>
        <w:rPr>
          <w:rFonts w:hint="eastAsia"/>
        </w:rPr>
        <w:t>件</w:t>
      </w:r>
    </w:p>
    <w:p w:rsidR="007E1EA5" w:rsidRPr="007E1EA5" w:rsidRDefault="007E1EA5" w:rsidP="007E1EA5"/>
    <w:p w:rsidR="007E1EA5" w:rsidRDefault="007E1EA5" w:rsidP="007E1EA5"/>
    <w:p w:rsidR="007E1EA5" w:rsidRDefault="007E1EA5" w:rsidP="007E1EA5">
      <w:pPr>
        <w:tabs>
          <w:tab w:val="left" w:pos="4590"/>
        </w:tabs>
      </w:pPr>
      <w:r>
        <w:rPr>
          <w:noProof/>
        </w:rPr>
        <w:pict>
          <v:roundrect id="_x0000_s2060" style="position:absolute;left:0;text-align:left;margin-left:445.5pt;margin-top:166.5pt;width:228.75pt;height:65.25pt;z-index:251668480" arcsize="10923f">
            <v:textbox style="mso-next-textbox:#_x0000_s2060">
              <w:txbxContent>
                <w:p w:rsidR="007E1EA5" w:rsidRDefault="007E1EA5" w:rsidP="007E1EA5">
                  <w:pPr>
                    <w:rPr>
                      <w:rFonts w:hint="eastAsia"/>
                    </w:rPr>
                  </w:pPr>
                </w:p>
                <w:p w:rsidR="007E1EA5" w:rsidRDefault="00C2614F" w:rsidP="007E1EA5">
                  <w:pPr>
                    <w:jc w:val="center"/>
                  </w:pPr>
                  <w:r>
                    <w:t>资金结算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59" type="#_x0000_t32" style="position:absolute;left:0;text-align:left;margin-left:153.75pt;margin-top:205.5pt;width:286.5pt;height:0;z-index:251667456" o:connectortype="straight">
            <v:stroke endarrow="block"/>
          </v:shape>
        </w:pict>
      </w:r>
      <w:r>
        <w:tab/>
      </w:r>
      <w:r>
        <w:t>退休、支付房租等一级审批业务</w:t>
      </w:r>
    </w:p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Pr="007E1EA5" w:rsidRDefault="007E1EA5" w:rsidP="007E1EA5"/>
    <w:p w:rsidR="007E1EA5" w:rsidRDefault="007E1EA5" w:rsidP="007E1EA5"/>
    <w:p w:rsidR="00A23F61" w:rsidRPr="007E1EA5" w:rsidRDefault="007E1EA5" w:rsidP="007E1EA5">
      <w:pPr>
        <w:tabs>
          <w:tab w:val="left" w:pos="4245"/>
        </w:tabs>
      </w:pPr>
      <w:r>
        <w:tab/>
      </w:r>
      <w:r>
        <w:t>购买自住住房、死亡等</w:t>
      </w:r>
      <w:r w:rsidR="00C2614F">
        <w:rPr>
          <w:rFonts w:hint="eastAsia"/>
        </w:rPr>
        <w:t>二级</w:t>
      </w:r>
      <w:r>
        <w:t>审批业务</w:t>
      </w:r>
    </w:p>
    <w:sectPr w:rsidR="00A23F61" w:rsidRPr="007E1EA5" w:rsidSect="007E1EA5">
      <w:pgSz w:w="16838" w:h="11906" w:orient="landscape"/>
      <w:pgMar w:top="851" w:right="1440" w:bottom="180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61" w:rsidRDefault="00A23F61" w:rsidP="007E1EA5">
      <w:r>
        <w:separator/>
      </w:r>
    </w:p>
  </w:endnote>
  <w:endnote w:type="continuationSeparator" w:id="1">
    <w:p w:rsidR="00A23F61" w:rsidRDefault="00A23F61" w:rsidP="007E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61" w:rsidRDefault="00A23F61" w:rsidP="007E1EA5">
      <w:r>
        <w:separator/>
      </w:r>
    </w:p>
  </w:footnote>
  <w:footnote w:type="continuationSeparator" w:id="1">
    <w:p w:rsidR="00A23F61" w:rsidRDefault="00A23F61" w:rsidP="007E1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A5"/>
    <w:rsid w:val="007E1EA5"/>
    <w:rsid w:val="00A23F61"/>
    <w:rsid w:val="00C2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1"/>
        <o:r id="V:Rule4" type="connector" idref="#_x0000_s2052"/>
        <o:r id="V:Rule5" type="connector" idref="#_x0000_s2054"/>
        <o:r id="V:Rule6" type="connector" idref="#_x0000_s2058"/>
        <o:r id="V:Rule7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E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1E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E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</cp:revision>
  <dcterms:created xsi:type="dcterms:W3CDTF">2019-09-30T09:32:00Z</dcterms:created>
  <dcterms:modified xsi:type="dcterms:W3CDTF">2019-09-30T09:44:00Z</dcterms:modified>
</cp:coreProperties>
</file>