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741"/>
          <w:tab w:val="left" w:pos="1485"/>
          <w:tab w:val="left" w:pos="2227"/>
          <w:tab w:val="left" w:pos="2971"/>
          <w:tab w:val="left" w:pos="3715"/>
          <w:tab w:val="left" w:pos="4456"/>
          <w:tab w:val="left" w:pos="5200"/>
          <w:tab w:val="left" w:pos="5942"/>
          <w:tab w:val="left" w:pos="6686"/>
          <w:tab w:val="left" w:pos="7430"/>
        </w:tabs>
        <w:kinsoku/>
        <w:wordWrap/>
        <w:overflowPunct/>
        <w:topLinePunct w:val="0"/>
        <w:autoSpaceDE w:val="0"/>
        <w:autoSpaceDN w:val="0"/>
        <w:bidi w:val="0"/>
        <w:adjustRightInd/>
        <w:snapToGrid/>
        <w:spacing w:before="0" w:line="1000" w:lineRule="exact"/>
        <w:ind w:right="0"/>
        <w:jc w:val="both"/>
        <w:textAlignment w:val="auto"/>
        <w:rPr>
          <w:rFonts w:hint="eastAsia" w:ascii="方正小标宋简体" w:hAnsi="方正小标宋简体" w:eastAsia="方正小标宋简体" w:cs="方正小标宋简体"/>
          <w:b w:val="0"/>
          <w:bCs/>
          <w:color w:val="FF0000"/>
          <w:w w:val="80"/>
          <w:sz w:val="72"/>
          <w:szCs w:val="72"/>
        </w:rPr>
      </w:pPr>
    </w:p>
    <w:p>
      <w:pPr>
        <w:keepNext w:val="0"/>
        <w:keepLines w:val="0"/>
        <w:pageBreakBefore w:val="0"/>
        <w:widowControl w:val="0"/>
        <w:tabs>
          <w:tab w:val="left" w:pos="741"/>
          <w:tab w:val="left" w:pos="1485"/>
          <w:tab w:val="left" w:pos="2227"/>
          <w:tab w:val="left" w:pos="2971"/>
          <w:tab w:val="left" w:pos="3715"/>
          <w:tab w:val="left" w:pos="4456"/>
          <w:tab w:val="left" w:pos="5200"/>
          <w:tab w:val="left" w:pos="5942"/>
          <w:tab w:val="left" w:pos="6686"/>
          <w:tab w:val="left" w:pos="7430"/>
        </w:tabs>
        <w:kinsoku/>
        <w:wordWrap/>
        <w:overflowPunct/>
        <w:topLinePunct w:val="0"/>
        <w:autoSpaceDE w:val="0"/>
        <w:autoSpaceDN w:val="0"/>
        <w:bidi w:val="0"/>
        <w:adjustRightInd/>
        <w:snapToGrid/>
        <w:spacing w:before="0" w:line="1000" w:lineRule="exact"/>
        <w:ind w:right="0"/>
        <w:jc w:val="both"/>
        <w:textAlignment w:val="auto"/>
        <w:rPr>
          <w:rFonts w:hint="default" w:ascii="方正小标宋简体" w:hAnsi="方正小标宋简体" w:eastAsia="方正小标宋简体" w:cs="方正小标宋简体"/>
          <w:b w:val="0"/>
          <w:bCs/>
          <w:color w:val="FF0000"/>
          <w:w w:val="90"/>
          <w:sz w:val="72"/>
          <w:szCs w:val="72"/>
          <w:lang w:val="en-US" w:eastAsia="zh-CN"/>
        </w:rPr>
      </w:pPr>
      <w:r>
        <w:rPr>
          <w:rFonts w:hint="eastAsia" w:ascii="方正小标宋简体" w:hAnsi="方正小标宋简体" w:eastAsia="方正小标宋简体" w:cs="方正小标宋简体"/>
          <w:b w:val="0"/>
          <w:bCs/>
          <w:color w:val="FF0000"/>
          <w:w w:val="80"/>
          <w:sz w:val="72"/>
          <w:szCs w:val="72"/>
        </w:rPr>
        <w:t>朔州</w:t>
      </w:r>
      <w:r>
        <w:rPr>
          <w:rFonts w:hint="eastAsia" w:ascii="方正小标宋简体" w:hAnsi="方正小标宋简体" w:eastAsia="方正小标宋简体" w:cs="方正小标宋简体"/>
          <w:b w:val="0"/>
          <w:bCs/>
          <w:color w:val="FF0000"/>
          <w:w w:val="80"/>
          <w:sz w:val="72"/>
          <w:szCs w:val="72"/>
          <w:lang w:val="en-US" w:eastAsia="zh-CN"/>
        </w:rPr>
        <w:t>经济开发区组织和人力资源部</w:t>
      </w:r>
    </w:p>
    <w:p>
      <w:pPr>
        <w:spacing w:before="657"/>
        <w:ind w:left="0" w:right="157" w:firstLine="3600" w:firstLineChars="1000"/>
        <w:jc w:val="both"/>
        <w:rPr>
          <w:rFonts w:hint="eastAsia" w:ascii="方正小标宋简体" w:hAnsi="方正小标宋简体" w:eastAsia="方正小标宋简体" w:cs="方正小标宋简体"/>
          <w:b w:val="0"/>
          <w:bCs w:val="0"/>
          <w:sz w:val="44"/>
          <w:szCs w:val="44"/>
          <w:lang w:val="en-US" w:eastAsia="zh-CN"/>
        </w:rPr>
      </w:pPr>
      <w:r>
        <w:rPr>
          <w:rFonts w:hint="eastAsia" w:ascii="楷体" w:hAnsi="楷体" w:eastAsia="楷体" w:cs="楷体"/>
          <w:sz w:val="36"/>
          <w:szCs w:val="36"/>
        </w:rPr>
        <w:t>第</w:t>
      </w:r>
      <w:r>
        <w:rPr>
          <w:rFonts w:hint="eastAsia" w:ascii="楷体" w:hAnsi="楷体" w:eastAsia="楷体" w:cs="楷体"/>
          <w:sz w:val="36"/>
          <w:szCs w:val="36"/>
          <w:lang w:val="en-US" w:eastAsia="zh-CN"/>
        </w:rPr>
        <w:t xml:space="preserve"> 1 </w:t>
      </w:r>
      <w:r>
        <w:rPr>
          <w:rFonts w:hint="eastAsia" w:ascii="楷体" w:hAnsi="楷体" w:eastAsia="楷体" w:cs="楷体"/>
          <w:sz w:val="36"/>
          <w:szCs w:val="36"/>
        </w:rPr>
        <w:t>期</w:t>
      </w:r>
    </w:p>
    <w:p>
      <w:pPr>
        <w:pStyle w:val="2"/>
        <w:keepNext w:val="0"/>
        <w:keepLines w:val="0"/>
        <w:pageBreakBefore w:val="0"/>
        <w:widowControl w:val="0"/>
        <w:kinsoku/>
        <w:wordWrap/>
        <w:overflowPunct/>
        <w:topLinePunct w:val="0"/>
        <w:autoSpaceDE/>
        <w:autoSpaceDN/>
        <w:bidi w:val="0"/>
        <w:adjustRightInd/>
        <w:snapToGrid/>
        <w:spacing w:before="0" w:after="0" w:line="640" w:lineRule="exact"/>
        <w:jc w:val="center"/>
        <w:textAlignment w:val="auto"/>
        <w:rPr>
          <w:rFonts w:hint="eastAsia" w:ascii="仿宋_GB2312" w:hAnsi="仿宋_GB2312" w:eastAsia="仿宋_GB2312" w:cs="仿宋_GB2312"/>
          <w:b w:val="0"/>
          <w:bCs w:val="0"/>
          <w:sz w:val="36"/>
          <w:szCs w:val="36"/>
          <w:lang w:val="en-US" w:eastAsia="zh-CN"/>
        </w:rPr>
      </w:pPr>
      <w:r>
        <w:rPr>
          <w:rFonts w:hint="eastAsia" w:ascii="方正小标宋简体" w:hAnsi="方正小标宋简体" w:eastAsia="方正小标宋简体" w:cs="方正小标宋简体"/>
          <w:b w:val="0"/>
          <w:bCs w:val="0"/>
          <w:sz w:val="44"/>
          <w:szCs w:val="44"/>
        </w:rPr>
        <mc:AlternateContent>
          <mc:Choice Requires="wps">
            <w:drawing>
              <wp:anchor distT="0" distB="0" distL="114300" distR="114300" simplePos="0" relativeHeight="251659264" behindDoc="1" locked="0" layoutInCell="1" allowOverlap="1">
                <wp:simplePos x="0" y="0"/>
                <wp:positionH relativeFrom="page">
                  <wp:posOffset>1198880</wp:posOffset>
                </wp:positionH>
                <wp:positionV relativeFrom="paragraph">
                  <wp:posOffset>172720</wp:posOffset>
                </wp:positionV>
                <wp:extent cx="5400040" cy="0"/>
                <wp:effectExtent l="0" t="9525" r="10160" b="9525"/>
                <wp:wrapTopAndBottom/>
                <wp:docPr id="1" name="1026"/>
                <wp:cNvGraphicFramePr/>
                <a:graphic xmlns:a="http://schemas.openxmlformats.org/drawingml/2006/main">
                  <a:graphicData uri="http://schemas.microsoft.com/office/word/2010/wordprocessingShape">
                    <wps:wsp>
                      <wps:cNvCnPr/>
                      <wps:spPr>
                        <a:xfrm>
                          <a:off x="0" y="0"/>
                          <a:ext cx="5400040" cy="0"/>
                        </a:xfrm>
                        <a:prstGeom prst="line">
                          <a:avLst/>
                        </a:prstGeom>
                        <a:ln w="19050" cap="flat" cmpd="sng">
                          <a:solidFill>
                            <a:srgbClr val="FF0000"/>
                          </a:solidFill>
                          <a:prstDash val="solid"/>
                          <a:headEnd type="none" w="med" len="med"/>
                          <a:tailEnd type="none" w="med" len="med"/>
                        </a:ln>
                      </wps:spPr>
                      <wps:bodyPr upright="1"/>
                    </wps:wsp>
                  </a:graphicData>
                </a:graphic>
              </wp:anchor>
            </w:drawing>
          </mc:Choice>
          <mc:Fallback>
            <w:pict>
              <v:line id="1026" o:spid="_x0000_s1026" o:spt="20" style="position:absolute;left:0pt;margin-left:94.4pt;margin-top:13.6pt;height:0pt;width:425.2pt;mso-position-horizontal-relative:page;mso-wrap-distance-bottom:0pt;mso-wrap-distance-top:0pt;z-index:-251657216;mso-width-relative:page;mso-height-relative:page;" filled="f" stroked="t" coordsize="21600,21600" o:gfxdata="UEsDBAoAAAAAAIdO4kAAAAAAAAAAAAAAAAAEAAAAZHJzL1BLAwQUAAAACACHTuJAps/JZdgAAAAK&#10;AQAADwAAAGRycy9kb3ducmV2LnhtbE2PMU/DMBCFdyT+g3VIbNROkNI0jdMhEioDUtXAAJsbmyTC&#10;Pkex24R/z1UMsN27e3r3vXK3OMsuZgqDRwnJSgAz2Ho9YCfh7fXpIQcWokKtrEcj4dsE2FW3N6Uq&#10;tJ/xaC5N7BiFYCiUhD7GseA8tL1xKqz8aJBun35yKpKcOq4nNVO4szwVIuNODUgfejWaujftV3N2&#10;Et4P+8P4UteZf/7Yz0uXJc1xbaW8v0vEFlg0S/wzwxWf0KEippM/ow7Mks5zQo8S0nUK7GoQjxua&#10;Tr8bXpX8f4XqB1BLAwQUAAAACACHTuJABUYed9oBAADYAwAADgAAAGRycy9lMm9Eb2MueG1srVNN&#10;jxMxDL0j8R+i3OlMq90VjDrdw5ZyQVAJ+AFuPmYi5Utx2mn/PU6muwvLpQcuiRM7z37Pzvrx7Cw7&#10;qYQm+J4vFy1nyosgjR96/uvn7sNHzjCDl2CDVz2/KOSPm/fv1lPs1CqMwUqVGIF47KbY8zHn2DUN&#10;ilE5wEWIypNTh+Qg0zENjUwwEbqzzaptH5opJBlTEAqRbrezk18R0y2AQWsj1DaIo1M+z6hJWchE&#10;CUcTkW9qtVorkb9rjSoz23NimutKScg+lLXZrKEbEsTRiGsJcEsJbzg5MJ6SvkBtIQM7JvMPlDMi&#10;BQw6L0RwzUykKkIslu0bbX6MEFXlQlJjfBEd/x+s+HbaJ2YkTQJnHhw1fNmuHoouU8SO3E9+n64n&#10;jPtUSJ51cmWn8tm5anl50VKdMxN0eX/Xtu0dySyefc3rw5gwf1HBsWL03BpfaEIHp6+YKRmFPoeU&#10;a+vZRHV9au8LHtDQaWo2mS5S4eiH+hiDNXJnrC1PMA2HJ5vYCajxux3VUntNwH+FlSxbwHGOq655&#10;JEYF8rOXLF8iSeLpJ/BSg1OSM6vo4xSrDk8GY2+JpNTWE7Ui6yxksQ5BXqgBx5jMMJIUywJaY6jh&#10;VYjrcJaJ+vNco14/5OY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ps/JZdgAAAAKAQAADwAAAAAA&#10;AAABACAAAAAiAAAAZHJzL2Rvd25yZXYueG1sUEsBAhQAFAAAAAgAh07iQAVGHnfaAQAA2AMAAA4A&#10;AAAAAAAAAQAgAAAAJwEAAGRycy9lMm9Eb2MueG1sUEsFBgAAAAAGAAYAWQEAAHMFAAAAAA==&#10;">
                <v:fill on="f" focussize="0,0"/>
                <v:stroke weight="1.5pt" color="#FF0000" joinstyle="round"/>
                <v:imagedata o:title=""/>
                <o:lock v:ext="edit" aspectratio="f"/>
                <w10:wrap type="topAndBottom"/>
              </v:line>
            </w:pict>
          </mc:Fallback>
        </mc:AlternateContent>
      </w:r>
      <w:r>
        <w:rPr>
          <w:rFonts w:hint="eastAsia" w:ascii="方正小标宋_GBK" w:hAnsi="方正小标宋_GBK" w:eastAsia="方正小标宋_GBK" w:cs="方正小标宋_GBK"/>
          <w:b w:val="0"/>
          <w:bCs w:val="0"/>
          <w:kern w:val="2"/>
          <w:sz w:val="44"/>
          <w:szCs w:val="44"/>
          <w:lang w:val="en-US" w:eastAsia="zh-CN" w:bidi="ar-SA"/>
        </w:rPr>
        <w:t>建立校企合作机制 助推产业转型升级</w:t>
      </w:r>
    </w:p>
    <w:p>
      <w:pPr>
        <w:pStyle w:val="2"/>
        <w:keepNext w:val="0"/>
        <w:keepLines w:val="0"/>
        <w:pageBreakBefore w:val="0"/>
        <w:widowControl w:val="0"/>
        <w:kinsoku/>
        <w:wordWrap/>
        <w:overflowPunct/>
        <w:topLinePunct w:val="0"/>
        <w:autoSpaceDE/>
        <w:autoSpaceDN/>
        <w:bidi w:val="0"/>
        <w:adjustRightInd/>
        <w:snapToGrid/>
        <w:spacing w:before="0" w:after="0" w:line="640" w:lineRule="exact"/>
        <w:ind w:firstLine="720" w:firstLineChars="200"/>
        <w:jc w:val="both"/>
        <w:textAlignment w:val="auto"/>
        <w:rPr>
          <w:rFonts w:hint="eastAsia" w:ascii="仿宋_GB2312" w:hAnsi="仿宋_GB2312" w:eastAsia="仿宋_GB2312" w:cs="仿宋_GB2312"/>
          <w:b w:val="0"/>
          <w:bCs w:val="0"/>
          <w:sz w:val="36"/>
          <w:szCs w:val="36"/>
          <w:lang w:val="en-US" w:eastAsia="zh-CN"/>
        </w:rPr>
      </w:pPr>
      <w:r>
        <w:rPr>
          <w:rFonts w:hint="eastAsia" w:ascii="仿宋_GB2312" w:hAnsi="仿宋_GB2312" w:eastAsia="仿宋_GB2312" w:cs="仿宋_GB2312"/>
          <w:b w:val="0"/>
          <w:bCs w:val="0"/>
          <w:sz w:val="36"/>
          <w:szCs w:val="36"/>
          <w:lang w:val="en-US" w:eastAsia="zh-CN"/>
        </w:rPr>
        <w:t>今年来，朔州经济开发区以深化省校合作工作为契机，紧紧围绕全区产业特点，建立健全服务、互通、奖励三个机制，推动企业与高校在创新研发、成果转化、产业转型等方面深度合作，助推开发区产业转型升级。</w:t>
      </w:r>
    </w:p>
    <w:p>
      <w:pPr>
        <w:pStyle w:val="2"/>
        <w:keepNext w:val="0"/>
        <w:keepLines w:val="0"/>
        <w:pageBreakBefore w:val="0"/>
        <w:widowControl w:val="0"/>
        <w:kinsoku/>
        <w:wordWrap/>
        <w:overflowPunct/>
        <w:topLinePunct w:val="0"/>
        <w:autoSpaceDE/>
        <w:autoSpaceDN/>
        <w:bidi w:val="0"/>
        <w:adjustRightInd/>
        <w:snapToGrid/>
        <w:spacing w:before="0" w:after="0" w:line="640" w:lineRule="exact"/>
        <w:ind w:firstLine="720" w:firstLineChars="200"/>
        <w:jc w:val="both"/>
        <w:textAlignment w:val="auto"/>
        <w:rPr>
          <w:rFonts w:hint="default" w:ascii="仿宋_GB2312" w:hAnsi="仿宋_GB2312" w:eastAsia="仿宋_GB2312" w:cs="仿宋_GB2312"/>
          <w:b w:val="0"/>
          <w:bCs w:val="0"/>
          <w:i w:val="0"/>
          <w:iCs w:val="0"/>
          <w:caps w:val="0"/>
          <w:color w:val="333333"/>
          <w:spacing w:val="0"/>
          <w:kern w:val="2"/>
          <w:sz w:val="36"/>
          <w:szCs w:val="36"/>
          <w:lang w:val="en-US" w:eastAsia="zh-CN" w:bidi="ar-SA"/>
        </w:rPr>
      </w:pPr>
      <w:r>
        <w:rPr>
          <w:rFonts w:hint="eastAsia" w:ascii="黑体" w:hAnsi="黑体" w:eastAsia="黑体" w:cs="黑体"/>
          <w:b w:val="0"/>
          <w:bCs w:val="0"/>
          <w:i w:val="0"/>
          <w:iCs w:val="0"/>
          <w:caps w:val="0"/>
          <w:color w:val="333333"/>
          <w:spacing w:val="0"/>
          <w:kern w:val="2"/>
          <w:sz w:val="36"/>
          <w:szCs w:val="36"/>
          <w:lang w:val="en-US" w:eastAsia="zh-CN" w:bidi="ar-SA"/>
        </w:rPr>
        <w:t>全方面服务机制，掌握企业发展需求。</w:t>
      </w:r>
      <w:r>
        <w:rPr>
          <w:rFonts w:hint="eastAsia" w:ascii="仿宋_GB2312" w:hAnsi="仿宋_GB2312" w:eastAsia="仿宋_GB2312" w:cs="仿宋_GB2312"/>
          <w:b w:val="0"/>
          <w:bCs w:val="0"/>
          <w:sz w:val="36"/>
          <w:szCs w:val="36"/>
          <w:lang w:val="en-US" w:eastAsia="zh-CN"/>
        </w:rPr>
        <w:t>为</w:t>
      </w:r>
      <w:r>
        <w:rPr>
          <w:rFonts w:hint="eastAsia" w:ascii="仿宋_GB2312" w:hAnsi="仿宋_GB2312" w:eastAsia="仿宋_GB2312" w:cs="仿宋_GB2312"/>
          <w:b w:val="0"/>
          <w:bCs w:val="0"/>
          <w:i w:val="0"/>
          <w:iCs w:val="0"/>
          <w:caps w:val="0"/>
          <w:color w:val="333333"/>
          <w:spacing w:val="0"/>
          <w:kern w:val="2"/>
          <w:sz w:val="36"/>
          <w:szCs w:val="36"/>
          <w:lang w:val="en-US" w:eastAsia="zh-CN" w:bidi="ar-SA"/>
        </w:rPr>
        <w:t>优化营商环境，开发区组织开展“金牌专员”、“百人入企”等活动，通过领导包片、专员蹲点的方式，为企业提供“一对一”全生命周期服务 ，全年共收集32户企业提出的涉及要素保障、政策扶持、配套建设、人才引进培育、社会保障、科技创新、环境保护等类别232个问题诉求和建议，已全部进行办理和书面回复；同时针对企业在转型升级和科技创新中遇到的项目成长、科技攻关、产品升级、人才支撑等难题，建立专项“需求清单”，登记造册，充分发挥“12大基地”建设阶段成果，坚持“走出去”瞄准靶向发力，取“真经”为企业纾困解难。</w:t>
      </w:r>
    </w:p>
    <w:p>
      <w:pPr>
        <w:keepNext w:val="0"/>
        <w:keepLines w:val="0"/>
        <w:pageBreakBefore w:val="0"/>
        <w:widowControl w:val="0"/>
        <w:kinsoku/>
        <w:wordWrap/>
        <w:overflowPunct/>
        <w:topLinePunct w:val="0"/>
        <w:autoSpaceDE/>
        <w:autoSpaceDN/>
        <w:bidi w:val="0"/>
        <w:adjustRightInd/>
        <w:snapToGrid/>
        <w:spacing w:before="0" w:after="0" w:line="640" w:lineRule="exact"/>
        <w:ind w:firstLine="720" w:firstLineChars="200"/>
        <w:jc w:val="both"/>
        <w:textAlignment w:val="auto"/>
        <w:rPr>
          <w:rFonts w:hint="eastAsia" w:ascii="仿宋_GB2312" w:hAnsi="仿宋_GB2312" w:eastAsia="仿宋_GB2312" w:cs="仿宋_GB2312"/>
          <w:b w:val="0"/>
          <w:bCs w:val="0"/>
          <w:i w:val="0"/>
          <w:iCs w:val="0"/>
          <w:caps w:val="0"/>
          <w:color w:val="333333"/>
          <w:spacing w:val="0"/>
          <w:kern w:val="2"/>
          <w:sz w:val="36"/>
          <w:szCs w:val="36"/>
          <w:shd w:val="clear" w:fill="FFFFFF"/>
          <w:lang w:val="en-US" w:eastAsia="zh-CN" w:bidi="ar-SA"/>
        </w:rPr>
      </w:pPr>
      <w:r>
        <w:rPr>
          <w:rFonts w:hint="eastAsia" w:ascii="黑体" w:hAnsi="黑体" w:eastAsia="黑体" w:cs="黑体"/>
          <w:b w:val="0"/>
          <w:bCs w:val="0"/>
          <w:i w:val="0"/>
          <w:iCs w:val="0"/>
          <w:caps w:val="0"/>
          <w:color w:val="333333"/>
          <w:spacing w:val="0"/>
          <w:kern w:val="2"/>
          <w:sz w:val="36"/>
          <w:szCs w:val="36"/>
          <w:lang w:val="en-US" w:eastAsia="zh-CN" w:bidi="ar-SA"/>
        </w:rPr>
        <w:t>多渠道互通机制，搭建校企合作桥梁。</w:t>
      </w:r>
      <w:r>
        <w:rPr>
          <w:rFonts w:hint="eastAsia" w:ascii="仿宋_GB2312" w:hAnsi="仿宋_GB2312" w:eastAsia="仿宋_GB2312" w:cs="仿宋_GB2312"/>
          <w:b w:val="0"/>
          <w:bCs w:val="0"/>
          <w:i w:val="0"/>
          <w:iCs w:val="0"/>
          <w:caps w:val="0"/>
          <w:color w:val="333333"/>
          <w:spacing w:val="0"/>
          <w:kern w:val="2"/>
          <w:sz w:val="36"/>
          <w:szCs w:val="36"/>
          <w:lang w:val="en-US" w:eastAsia="zh-CN" w:bidi="ar-SA"/>
        </w:rPr>
        <w:t>紧紧围绕开发区装备制造、新能源、新材料、全产业链铝制品深加工、储能等五大产业集群特点，通过校友、老乡、外聘专家牵线搭桥等方式，成功与西安交通大学、西安电子科技大学、西北农林科技大学、兰州大学、江南大学、北京交通大学等国内10余所“双一流”高校构建战略合作关系，用心用情架起校企“连心桥”，</w:t>
      </w:r>
      <w:r>
        <w:rPr>
          <w:rFonts w:hint="eastAsia" w:ascii="仿宋_GB2312" w:hAnsi="仿宋_GB2312" w:eastAsia="仿宋_GB2312" w:cs="仿宋_GB2312"/>
          <w:b w:val="0"/>
          <w:bCs w:val="0"/>
          <w:i w:val="0"/>
          <w:iCs w:val="0"/>
          <w:caps w:val="0"/>
          <w:color w:val="333333"/>
          <w:spacing w:val="0"/>
          <w:kern w:val="2"/>
          <w:sz w:val="36"/>
          <w:szCs w:val="36"/>
          <w:shd w:val="clear" w:fill="FFFFFF"/>
          <w:lang w:val="en-US" w:eastAsia="zh-CN" w:bidi="ar-SA"/>
        </w:rPr>
        <w:t>帮助企业引进人才、革新技术，实现高校科技成果转化，达成校企互惠共赢。目前，区内企业朔州金华实业有限公司与西安交大、山西中藜食品开发有限公司与江南大学、山西国润储能科技有限公司与合肥工业大学、山西三元炭素有限责任公司与中南大学、兰州理工大学、陕西师范大学，山西晋北藜麦开发有限公司和朔州开发区启元农业科技有限公司与山西农大、山西繁盛昇设备有限责任公司与太原科技大学等10多个项目合作已成功落地园区。</w:t>
      </w:r>
    </w:p>
    <w:p>
      <w:pPr>
        <w:keepNext w:val="0"/>
        <w:keepLines w:val="0"/>
        <w:pageBreakBefore w:val="0"/>
        <w:widowControl w:val="0"/>
        <w:kinsoku/>
        <w:wordWrap/>
        <w:overflowPunct/>
        <w:topLinePunct w:val="0"/>
        <w:autoSpaceDE/>
        <w:autoSpaceDN/>
        <w:bidi w:val="0"/>
        <w:adjustRightInd/>
        <w:snapToGrid/>
        <w:spacing w:before="0" w:after="0" w:line="640" w:lineRule="exact"/>
        <w:ind w:firstLine="720" w:firstLineChars="200"/>
        <w:jc w:val="both"/>
        <w:textAlignment w:val="auto"/>
        <w:rPr>
          <w:rFonts w:hint="eastAsia" w:ascii="仿宋_GB2312" w:hAnsi="仿宋_GB2312" w:eastAsia="仿宋_GB2312" w:cs="仿宋_GB2312"/>
          <w:b w:val="0"/>
          <w:bCs w:val="0"/>
          <w:i w:val="0"/>
          <w:iCs w:val="0"/>
          <w:caps w:val="0"/>
          <w:color w:val="333333"/>
          <w:spacing w:val="0"/>
          <w:kern w:val="2"/>
          <w:sz w:val="36"/>
          <w:szCs w:val="36"/>
          <w:shd w:val="clear" w:fill="FFFFFF"/>
          <w:lang w:val="en-US" w:eastAsia="zh-CN" w:bidi="ar-SA"/>
        </w:rPr>
      </w:pPr>
      <w:r>
        <w:rPr>
          <w:rFonts w:hint="eastAsia" w:ascii="黑体" w:hAnsi="黑体" w:eastAsia="黑体" w:cs="黑体"/>
          <w:b w:val="0"/>
          <w:bCs w:val="0"/>
          <w:i w:val="0"/>
          <w:iCs w:val="0"/>
          <w:caps w:val="0"/>
          <w:color w:val="333333"/>
          <w:spacing w:val="0"/>
          <w:kern w:val="2"/>
          <w:sz w:val="36"/>
          <w:szCs w:val="36"/>
          <w:lang w:val="en-US" w:eastAsia="zh-CN" w:bidi="ar-SA"/>
        </w:rPr>
        <w:t>广覆盖奖励机制，加快转型升级步伐。</w:t>
      </w:r>
      <w:r>
        <w:rPr>
          <w:rFonts w:hint="eastAsia" w:ascii="仿宋_GB2312" w:hAnsi="仿宋_GB2312" w:eastAsia="仿宋_GB2312" w:cs="仿宋_GB2312"/>
          <w:b w:val="0"/>
          <w:bCs w:val="0"/>
          <w:i w:val="0"/>
          <w:iCs w:val="0"/>
          <w:caps w:val="0"/>
          <w:color w:val="333333"/>
          <w:spacing w:val="0"/>
          <w:kern w:val="2"/>
          <w:sz w:val="36"/>
          <w:szCs w:val="36"/>
          <w:shd w:val="clear" w:fill="FFFFFF"/>
          <w:lang w:val="en-US" w:eastAsia="zh-CN" w:bidi="ar-SA"/>
        </w:rPr>
        <w:t>开发区大手笔制定《优化营商环境新十条》和《人才及团队引进培育扶持办法（试行）》、《招商引资产业发展政策（试行）》等多项奖励政策，为校企合作提供强有力政策支撑。对企业引进的高校人才和科研团队给予免费提供人才公寓和10-100万元资金扶持；对高校来开发区实习的大学生提供免费食宿和1000元的生活补贴；对与高校签订科研平台延伸和科技成果转化协议取得实质进展与成效的企业给予最高20-40万元的补贴；对推动校企合作有重大贡献的校友人才，聘请为顾问和高级管理人才，予以5-10万元的奖励。在奖励政策的推动下，全区已</w:t>
      </w:r>
      <w:r>
        <w:rPr>
          <w:rFonts w:hint="eastAsia" w:ascii="仿宋_GB2312" w:hAnsi="仿宋_GB2312" w:eastAsia="仿宋_GB2312" w:cs="仿宋_GB2312"/>
          <w:b w:val="0"/>
          <w:bCs w:val="0"/>
          <w:i w:val="0"/>
          <w:iCs w:val="0"/>
          <w:caps w:val="0"/>
          <w:color w:val="333333"/>
          <w:spacing w:val="0"/>
          <w:kern w:val="2"/>
          <w:sz w:val="36"/>
          <w:szCs w:val="36"/>
          <w:lang w:val="en-US" w:eastAsia="zh-CN" w:bidi="ar-SA"/>
        </w:rPr>
        <w:t>建成产学研合作平台10个，实现科技成果转化12个，接纳实习实训大学生41名，吸引各类优秀人才98人，特聘安横渠智库首席专家、西安交通大学特聘教授党天虎为产业顾问；</w:t>
      </w:r>
      <w:r>
        <w:rPr>
          <w:rFonts w:hint="eastAsia" w:ascii="仿宋_GB2312" w:hAnsi="仿宋_GB2312" w:eastAsia="仿宋_GB2312" w:cs="仿宋_GB2312"/>
          <w:b w:val="0"/>
          <w:bCs w:val="0"/>
          <w:i w:val="0"/>
          <w:iCs w:val="0"/>
          <w:caps w:val="0"/>
          <w:color w:val="333333"/>
          <w:spacing w:val="0"/>
          <w:kern w:val="2"/>
          <w:sz w:val="36"/>
          <w:szCs w:val="36"/>
          <w:shd w:val="clear" w:fill="FFFFFF"/>
          <w:lang w:val="en-US" w:eastAsia="zh-CN" w:bidi="ar-SA"/>
        </w:rPr>
        <w:t>朔州</w:t>
      </w:r>
      <w:r>
        <w:rPr>
          <w:rFonts w:hint="eastAsia" w:ascii="仿宋_GB2312" w:hAnsi="仿宋_GB2312" w:eastAsia="仿宋_GB2312" w:cs="仿宋_GB2312"/>
          <w:b w:val="0"/>
          <w:bCs w:val="0"/>
          <w:i w:val="0"/>
          <w:iCs w:val="0"/>
          <w:caps w:val="0"/>
          <w:color w:val="333333"/>
          <w:spacing w:val="0"/>
          <w:kern w:val="2"/>
          <w:sz w:val="36"/>
          <w:szCs w:val="36"/>
          <w:lang w:val="en-US" w:eastAsia="zh-CN" w:bidi="ar-SA"/>
        </w:rPr>
        <w:t>金华实业、繁盛昇煤机等8家传统煤机制造企业成功实现转型升级和技术革新</w:t>
      </w:r>
      <w:r>
        <w:rPr>
          <w:rFonts w:hint="eastAsia" w:ascii="仿宋_GB2312" w:hAnsi="仿宋_GB2312" w:eastAsia="仿宋_GB2312" w:cs="仿宋_GB2312"/>
          <w:b w:val="0"/>
          <w:bCs w:val="0"/>
          <w:i w:val="0"/>
          <w:iCs w:val="0"/>
          <w:caps w:val="0"/>
          <w:color w:val="333333"/>
          <w:spacing w:val="0"/>
          <w:kern w:val="2"/>
          <w:sz w:val="36"/>
          <w:szCs w:val="36"/>
          <w:shd w:val="clear" w:fill="FFFFFF"/>
          <w:lang w:val="en-US" w:eastAsia="zh-CN" w:bidi="ar-SA"/>
        </w:rPr>
        <w:t xml:space="preserve">，在设备改良、产品研发、市场营销方面都有了巨大提升，成功实现转型升级和技术革新，从“制造”迈向“智造”；国润储能、华朔新能源、联启科技等11家新能源、IT企业落户园区，为以传统煤电为主的开发区注入新动能。 </w:t>
      </w:r>
    </w:p>
    <w:p>
      <w:pPr>
        <w:keepNext w:val="0"/>
        <w:keepLines w:val="0"/>
        <w:pageBreakBefore w:val="0"/>
        <w:widowControl w:val="0"/>
        <w:kinsoku/>
        <w:wordWrap/>
        <w:overflowPunct/>
        <w:topLinePunct w:val="0"/>
        <w:autoSpaceDE/>
        <w:autoSpaceDN/>
        <w:bidi w:val="0"/>
        <w:adjustRightInd/>
        <w:snapToGrid/>
        <w:spacing w:before="0" w:after="0" w:line="640" w:lineRule="exact"/>
        <w:ind w:firstLine="608" w:firstLineChars="200"/>
        <w:jc w:val="both"/>
        <w:textAlignment w:val="auto"/>
        <w:rPr>
          <w:rFonts w:hint="eastAsia" w:ascii="仿宋_GB2312" w:hAnsi="仿宋_GB2312" w:eastAsia="仿宋_GB2312" w:cs="仿宋_GB2312"/>
          <w:w w:val="95"/>
          <w:sz w:val="32"/>
          <w:szCs w:val="32"/>
          <w:lang w:val="en-US" w:eastAsia="zh-CN"/>
        </w:rPr>
      </w:pPr>
    </w:p>
    <w:p>
      <w:pPr>
        <w:pStyle w:val="4"/>
        <w:keepNext w:val="0"/>
        <w:keepLines w:val="0"/>
        <w:pageBreakBefore w:val="0"/>
        <w:widowControl w:val="0"/>
        <w:kinsoku/>
        <w:wordWrap/>
        <w:overflowPunct/>
        <w:topLinePunct w:val="0"/>
        <w:autoSpaceDE w:val="0"/>
        <w:autoSpaceDN w:val="0"/>
        <w:bidi w:val="0"/>
        <w:adjustRightInd/>
        <w:snapToGrid/>
        <w:spacing w:before="0" w:line="640" w:lineRule="exact"/>
        <w:jc w:val="both"/>
        <w:textAlignment w:val="auto"/>
        <w:rPr>
          <w:rFonts w:hint="eastAsia" w:ascii="仿宋_GB2312" w:hAnsi="仿宋_GB2312" w:eastAsia="仿宋_GB2312" w:cs="仿宋_GB2312"/>
          <w:sz w:val="32"/>
          <w:szCs w:val="32"/>
          <w:lang w:val="en-US" w:eastAsia="zh-CN"/>
        </w:rPr>
      </w:pPr>
    </w:p>
    <w:p>
      <w:pPr>
        <w:pStyle w:val="4"/>
        <w:keepNext w:val="0"/>
        <w:keepLines w:val="0"/>
        <w:pageBreakBefore w:val="0"/>
        <w:widowControl w:val="0"/>
        <w:kinsoku/>
        <w:wordWrap/>
        <w:overflowPunct/>
        <w:topLinePunct w:val="0"/>
        <w:autoSpaceDE w:val="0"/>
        <w:autoSpaceDN w:val="0"/>
        <w:bidi/>
        <w:adjustRightInd/>
        <w:snapToGrid/>
        <w:spacing w:before="0" w:line="640" w:lineRule="exact"/>
        <w:jc w:val="both"/>
        <w:textAlignment w:val="auto"/>
        <w:rPr>
          <w:rFonts w:hint="eastAsia"/>
          <w:lang w:val="en-US" w:eastAsia="zh-CN"/>
        </w:rPr>
      </w:pPr>
      <w:r>
        <w:rPr>
          <w:rFonts w:hint="default" w:ascii="仿宋_GB2312" w:hAnsi="仿宋_GB2312" w:eastAsia="仿宋_GB2312" w:cs="仿宋_GB2312"/>
          <w:sz w:val="32"/>
          <w:szCs w:val="32"/>
          <w:lang w:val="en-US"/>
        </w:rPr>
        <mc:AlternateContent>
          <mc:Choice Requires="wps">
            <w:drawing>
              <wp:anchor distT="0" distB="0" distL="114300" distR="114300" simplePos="0" relativeHeight="251660288" behindDoc="1" locked="0" layoutInCell="1" allowOverlap="1">
                <wp:simplePos x="0" y="0"/>
                <wp:positionH relativeFrom="page">
                  <wp:posOffset>1122680</wp:posOffset>
                </wp:positionH>
                <wp:positionV relativeFrom="paragraph">
                  <wp:posOffset>274320</wp:posOffset>
                </wp:positionV>
                <wp:extent cx="5256530" cy="0"/>
                <wp:effectExtent l="0" t="9525" r="1270" b="9525"/>
                <wp:wrapTopAndBottom/>
                <wp:docPr id="2" name="1029"/>
                <wp:cNvGraphicFramePr/>
                <a:graphic xmlns:a="http://schemas.openxmlformats.org/drawingml/2006/main">
                  <a:graphicData uri="http://schemas.microsoft.com/office/word/2010/wordprocessingShape">
                    <wps:wsp>
                      <wps:cNvCnPr/>
                      <wps:spPr>
                        <a:xfrm>
                          <a:off x="0" y="0"/>
                          <a:ext cx="5256530" cy="0"/>
                        </a:xfrm>
                        <a:prstGeom prst="line">
                          <a:avLst/>
                        </a:prstGeom>
                        <a:ln w="19050" cap="flat" cmpd="sng">
                          <a:solidFill>
                            <a:srgbClr val="000000"/>
                          </a:solidFill>
                          <a:prstDash val="solid"/>
                          <a:headEnd type="none" w="med" len="med"/>
                          <a:tailEnd type="none" w="med" len="med"/>
                        </a:ln>
                      </wps:spPr>
                      <wps:bodyPr upright="1"/>
                    </wps:wsp>
                  </a:graphicData>
                </a:graphic>
              </wp:anchor>
            </w:drawing>
          </mc:Choice>
          <mc:Fallback>
            <w:pict>
              <v:line id="1029" o:spid="_x0000_s1026" o:spt="20" style="position:absolute;left:0pt;margin-left:88.4pt;margin-top:21.6pt;height:0pt;width:413.9pt;mso-position-horizontal-relative:page;mso-wrap-distance-bottom:0pt;mso-wrap-distance-top:0pt;z-index:-251656192;mso-width-relative:page;mso-height-relative:page;" filled="f" stroked="t" coordsize="21600,21600" o:gfxdata="UEsDBAoAAAAAAIdO4kAAAAAAAAAAAAAAAAAEAAAAZHJzL1BLAwQUAAAACACHTuJAqPmjPdYAAAAK&#10;AQAADwAAAGRycy9kb3ducmV2LnhtbE2PwU7DMAyG70i8Q2QkbizZKKWUppOYxGU3ygQcvca0FY1T&#10;NVm3vj2ZOLDjb//6/LlYn2wvJhp951jDcqFAENfOdNxo2L2/3mUgfEA22DsmDTN5WJfXVwXmxh35&#10;jaYqNCJC2OeooQ1hyKX0dUsW/cINxHH37UaLIcaxkWbEY4TbXq6USqXFjuOFFgfatFT/VAcbKQ+f&#10;2csWs90899XXU7L52E5stb69WapnEIFO4b8MZ/2oDmV02rsDGy/6mB/TqB40JPcrEOeCUkkKYv83&#10;kWUhL18ofwFQSwMEFAAAAAgAh07iQDO+fGfaAQAA2AMAAA4AAABkcnMvZTJvRG9jLnhtbK1Ty27b&#10;MBC8F+g/ELzXkhU4aATLOcRJL0VroO0HrElKIsAXuLRl/32XlOO06cWH+iAvucvZmVly/Xiyhh1V&#10;RO1dx5eLmjPlhJfaDR3/9fPl02fOMIGTYLxTHT8r5I+bjx/WU2hV40dvpIqMQBy2U+j4mFJoqwrF&#10;qCzgwgflKNn7aCHRMg6VjDARujVVU9f31eSjDNELhUi72znJL4jxFkDf91qorRcHq1yaUaMykEgS&#10;jjog3xS2fa9E+t73qBIzHSelqXypCcX7/K02a2iHCGHU4kIBbqHwTpMF7ajpFWoLCdgh6n+grBbR&#10;o+/TQnhbzUKKI6RiWb/z5scIQRUtZDWGq+n4/2DFt+MuMi073nDmwNLAl3XzkH2ZAraUfnK7eFlh&#10;2MUs8tRHm/+JPjsVL89XL9UpMUGbq2Z1v7ojm8Vrrno7GCKmL8pbloOOG+2yTGjh+BUTNaPS15K8&#10;bRybiNdDvcp4QJeup2FTaAMRRzeUw+iNli/amHwE47B/MpEdIQ++/LImAv6rLHfZAo5zXUnNV2JU&#10;IJ+dZOkcyBJHL4FnDlZJzoyih5MjAoQ2gTa3VFJr44hBtnU2Mkd7L880gEOIehjJimVhmTM08ML3&#10;cjnzjfpzXZDeHuTmN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Kj5oz3WAAAACgEAAA8AAAAAAAAA&#10;AQAgAAAAIgAAAGRycy9kb3ducmV2LnhtbFBLAQIUABQAAAAIAIdO4kAzvnxn2gEAANgDAAAOAAAA&#10;AAAAAAEAIAAAACUBAABkcnMvZTJvRG9jLnhtbFBLBQYAAAAABgAGAFkBAABxBQAAAAA=&#10;">
                <v:fill on="f" focussize="0,0"/>
                <v:stroke weight="1.5pt" color="#000000" joinstyle="round"/>
                <v:imagedata o:title=""/>
                <o:lock v:ext="edit" aspectratio="f"/>
                <w10:wrap type="topAndBottom"/>
              </v:line>
            </w:pict>
          </mc:Fallback>
        </mc:AlternateContent>
      </w:r>
      <w:r>
        <w:rPr>
          <w:rFonts w:hint="eastAsia" w:ascii="仿宋_GB2312" w:hAnsi="仿宋_GB2312" w:eastAsia="仿宋_GB2312" w:cs="仿宋_GB2312"/>
          <w:sz w:val="32"/>
          <w:szCs w:val="32"/>
          <w:lang w:val="en-US" w:eastAsia="zh-CN"/>
        </w:rPr>
        <w:t xml:space="preserve">  信息来源：人力资源科 编辑：杜晓旭     </w:t>
      </w:r>
      <w:bookmarkStart w:id="0" w:name="_GoBack"/>
      <w:bookmarkEnd w:id="0"/>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2021年</w:t>
      </w:r>
      <w:r>
        <w:rPr>
          <w:rFonts w:hint="eastAsia" w:ascii="仿宋_GB2312" w:hAnsi="仿宋_GB2312" w:eastAsia="仿宋_GB2312" w:cs="仿宋_GB2312"/>
          <w:spacing w:val="-80"/>
          <w:sz w:val="32"/>
          <w:szCs w:val="32"/>
          <w:lang w:val="en-US" w:eastAsia="zh-CN"/>
        </w:rPr>
        <w:t xml:space="preserve">1 </w:t>
      </w:r>
      <w:r>
        <w:rPr>
          <w:rFonts w:hint="eastAsia" w:ascii="仿宋_GB2312" w:hAnsi="仿宋_GB2312" w:eastAsia="仿宋_GB2312" w:cs="仿宋_GB2312"/>
          <w:sz w:val="32"/>
          <w:szCs w:val="32"/>
          <w:lang w:val="en-US" w:eastAsia="zh-CN"/>
        </w:rPr>
        <w:t xml:space="preserve">月6日  </w:t>
      </w:r>
    </w:p>
    <w:sectPr>
      <w:footerReference r:id="rId5" w:type="default"/>
      <w:pgSz w:w="11910" w:h="16840"/>
      <w:pgMar w:top="1587" w:right="1587" w:bottom="1587" w:left="1587" w:header="0" w:footer="975"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044247C-276D-4BE8-8CD3-8882B244DC7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89211C2A-BD47-4146-BAEC-47675D10C09C}"/>
  </w:font>
  <w:font w:name="仿宋">
    <w:panose1 w:val="02010609060101010101"/>
    <w:charset w:val="86"/>
    <w:family w:val="modern"/>
    <w:pitch w:val="default"/>
    <w:sig w:usb0="800002BF" w:usb1="38CF7CFA" w:usb2="00000016" w:usb3="00000000" w:csb0="00040001" w:csb1="00000000"/>
  </w:font>
  <w:font w:name="Microsoft JhengHei">
    <w:panose1 w:val="020B0604030504040204"/>
    <w:charset w:val="88"/>
    <w:family w:val="swiss"/>
    <w:pitch w:val="default"/>
    <w:sig w:usb0="000002A7" w:usb1="28CF4400" w:usb2="00000016" w:usb3="00000000" w:csb0="00100009" w:csb1="00000000"/>
  </w:font>
  <w:font w:name="Cambria">
    <w:panose1 w:val="02040503050406030204"/>
    <w:charset w:val="00"/>
    <w:family w:val="roman"/>
    <w:pitch w:val="default"/>
    <w:sig w:usb0="E00006FF" w:usb1="420024FF" w:usb2="02000000" w:usb3="00000000" w:csb0="2000019F" w:csb1="00000000"/>
  </w:font>
  <w:font w:name="方正小标宋简体">
    <w:panose1 w:val="02000000000000000000"/>
    <w:charset w:val="86"/>
    <w:family w:val="auto"/>
    <w:pitch w:val="default"/>
    <w:sig w:usb0="00000001" w:usb1="080E0000" w:usb2="00000000" w:usb3="00000000" w:csb0="00040000" w:csb1="00000000"/>
    <w:embedRegular r:id="rId3" w:fontKey="{3C3A5296-8F39-40B2-B878-D22D536E5E2A}"/>
  </w:font>
  <w:font w:name="楷体">
    <w:panose1 w:val="02010609060101010101"/>
    <w:charset w:val="86"/>
    <w:family w:val="modern"/>
    <w:pitch w:val="default"/>
    <w:sig w:usb0="800002BF" w:usb1="38CF7CFA" w:usb2="00000016" w:usb3="00000000" w:csb0="00040001" w:csb1="00000000"/>
    <w:embedRegular r:id="rId4" w:fontKey="{A594F7A7-294E-498B-839B-7CE0C8A11AE8}"/>
  </w:font>
  <w:font w:name="仿宋_GB2312">
    <w:panose1 w:val="02010609030101010101"/>
    <w:charset w:val="86"/>
    <w:family w:val="auto"/>
    <w:pitch w:val="default"/>
    <w:sig w:usb0="00000001" w:usb1="080E0000" w:usb2="00000000" w:usb3="00000000" w:csb0="00040000" w:csb1="00000000"/>
    <w:embedRegular r:id="rId5" w:fontKey="{1CF2739E-DB62-48D4-B24D-3A014B01FD33}"/>
  </w:font>
  <w:font w:name="方正小标宋_GBK">
    <w:panose1 w:val="02000000000000000000"/>
    <w:charset w:val="86"/>
    <w:family w:val="auto"/>
    <w:pitch w:val="default"/>
    <w:sig w:usb0="A00002BF" w:usb1="38CF7CFA" w:usb2="00082016" w:usb3="00000000" w:csb0="00040001" w:csb1="00000000"/>
    <w:embedRegular r:id="rId6" w:fontKey="{D95D20BF-A2A3-498E-B5BF-77D2BA71A6D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4" w:lineRule="auto"/>
      <w:rPr>
        <w:sz w:val="20"/>
      </w:rPr>
    </w:pPr>
    <w:r>
      <mc:AlternateContent>
        <mc:Choice Requires="wps">
          <w:drawing>
            <wp:anchor distT="0" distB="0" distL="114300" distR="114300" simplePos="0" relativeHeight="251660288" behindDoc="1" locked="0" layoutInCell="1" allowOverlap="1">
              <wp:simplePos x="0" y="0"/>
              <wp:positionH relativeFrom="page">
                <wp:posOffset>3724910</wp:posOffset>
              </wp:positionH>
              <wp:positionV relativeFrom="page">
                <wp:posOffset>9932670</wp:posOffset>
              </wp:positionV>
              <wp:extent cx="109220" cy="139700"/>
              <wp:effectExtent l="0" t="0" r="0" b="0"/>
              <wp:wrapNone/>
              <wp:docPr id="5" name="4097"/>
              <wp:cNvGraphicFramePr/>
              <a:graphic xmlns:a="http://schemas.openxmlformats.org/drawingml/2006/main">
                <a:graphicData uri="http://schemas.microsoft.com/office/word/2010/wordprocessingShape">
                  <wps:wsp>
                    <wps:cNvSpPr txBox="1"/>
                    <wps:spPr>
                      <a:xfrm>
                        <a:off x="0" y="0"/>
                        <a:ext cx="109220" cy="139700"/>
                      </a:xfrm>
                      <a:prstGeom prst="rect">
                        <a:avLst/>
                      </a:prstGeom>
                      <a:noFill/>
                      <a:ln>
                        <a:noFill/>
                      </a:ln>
                    </wps:spPr>
                    <wps:txbx>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1</w:t>
                          </w:r>
                          <w:r>
                            <w:fldChar w:fldCharType="end"/>
                          </w:r>
                        </w:p>
                      </w:txbxContent>
                    </wps:txbx>
                    <wps:bodyPr lIns="0" tIns="0" rIns="0" bIns="0" upright="1"/>
                  </wps:wsp>
                </a:graphicData>
              </a:graphic>
            </wp:anchor>
          </w:drawing>
        </mc:Choice>
        <mc:Fallback>
          <w:pict>
            <v:shape id="4097" o:spid="_x0000_s1026" o:spt="202" type="#_x0000_t202" style="position:absolute;left:0pt;margin-left:293.3pt;margin-top:782.1pt;height:11pt;width:8.6pt;mso-position-horizontal-relative:page;mso-position-vertical-relative:page;z-index:-251656192;mso-width-relative:page;mso-height-relative:page;" filled="f" stroked="f" coordsize="21600,21600" o:gfxdata="UEsDBAoAAAAAAIdO4kAAAAAAAAAAAAAAAAAEAAAAZHJzL1BLAwQUAAAACACHTuJA7mrTHtoAAAAN&#10;AQAADwAAAGRycy9kb3ducmV2LnhtbE2PzU7DMBCE70i8g7VI3KjdQK0Q4lQIwQkJkYYDRyd2E6vx&#10;OsTuD2/P9lSOO/NpdqZcn/zIDnaOLqCC5UIAs9gF47BX8NW83eXAYtJo9BjQKvi1EdbV9VWpCxOO&#10;WNvDJvWMQjAWWsGQ0lRwHrvBeh0XYbJI3jbMXic6556bWR8p3I88E0Jyrx3Sh0FP9mWw3W6z9wqe&#10;v7F+dT8f7We9rV3TPAp8lzulbm+W4glYsqd0geFcn6pDRZ3asEcT2ahglUtJKBkr+ZABI0SKe1rT&#10;nqVcZsCrkv9fUf0BUEsDBBQAAAAIAIdO4kCRTVy5pwEAAGoDAAAOAAAAZHJzL2Uyb0RvYy54bWyt&#10;U02P2yAQvVfqf0DcG5z0YxsrzkpVtFWlqq207Q8gGGIkYNBAYuffdyBxtt1e9tALHmbgzXtv8OZ+&#10;8o6dNCYLoePLRcOZDgp6Gw4d//Xz4c1HzlKWoZcOgu74WSd+v339ajPGVq9gANdrZAQSUjvGjg85&#10;x1aIpAbtZVpA1IGKBtDLTFs8iB7lSOjeiVXTfBAjYB8RlE6JsrtLkV8R8SWAYIxVegfq6HXIF1TU&#10;TmaSlAYbE99WtsZolb8bk3RmruOkNNeVmlC8L6vYbmR7QBkHq64U5EsoPNPkpQ3U9Aa1k1myI9p/&#10;oLxVCAlMXijw4iKkOkIqls0zbx4HGXXVQlaneDM9/T9Y9e30A5ntO/6esyA9Dfxds74rvowxtVR+&#10;jHQgT59gotcy5xMli9zJoC9fEsKoTq6eb67qKTNVLjXr1YoqikrLt+u7prouni5HTPmzBs9K0HGk&#10;oVUv5elrykSEjs5HSq8AD9a5OjgX/krQwZIRhfmFYYnytJ+ucvbQn0mN+xLIwvIc5gDnYD8Hx4j2&#10;MBCdqrlC0ggqmetzKTP+c18bP/0i29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uatMe2gAAAA0B&#10;AAAPAAAAAAAAAAEAIAAAACIAAABkcnMvZG93bnJldi54bWxQSwECFAAUAAAACACHTuJAkU1cuacB&#10;AABqAwAADgAAAAAAAAABACAAAAApAQAAZHJzL2Uyb0RvYy54bWxQSwUGAAAAAAYABgBZAQAAQgUA&#10;AAAA&#10;">
              <v:fill on="f" focussize="0,0"/>
              <v:stroke on="f"/>
              <v:imagedata o:title=""/>
              <o:lock v:ext="edit" aspectratio="f"/>
              <v:textbox inset="0mm,0mm,0mm,0mm">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4F403D"/>
    <w:rsid w:val="010335CC"/>
    <w:rsid w:val="01046066"/>
    <w:rsid w:val="02624261"/>
    <w:rsid w:val="03D122E8"/>
    <w:rsid w:val="03D55835"/>
    <w:rsid w:val="04CD6D96"/>
    <w:rsid w:val="051D5657"/>
    <w:rsid w:val="0535780D"/>
    <w:rsid w:val="0540277A"/>
    <w:rsid w:val="058C4C78"/>
    <w:rsid w:val="0768535D"/>
    <w:rsid w:val="07A50782"/>
    <w:rsid w:val="07C57D4E"/>
    <w:rsid w:val="07E631CA"/>
    <w:rsid w:val="09B426B4"/>
    <w:rsid w:val="0AC45B9C"/>
    <w:rsid w:val="0C0664BA"/>
    <w:rsid w:val="0CC0395C"/>
    <w:rsid w:val="0CFE4264"/>
    <w:rsid w:val="0E394F9F"/>
    <w:rsid w:val="0EDA6497"/>
    <w:rsid w:val="0F111F16"/>
    <w:rsid w:val="0F546892"/>
    <w:rsid w:val="0FDD312A"/>
    <w:rsid w:val="0FFF1983"/>
    <w:rsid w:val="11EF0E00"/>
    <w:rsid w:val="12424A75"/>
    <w:rsid w:val="13047899"/>
    <w:rsid w:val="13183BE1"/>
    <w:rsid w:val="139954C8"/>
    <w:rsid w:val="139F6EC8"/>
    <w:rsid w:val="13C94793"/>
    <w:rsid w:val="15F31684"/>
    <w:rsid w:val="16280521"/>
    <w:rsid w:val="164467D4"/>
    <w:rsid w:val="164E029F"/>
    <w:rsid w:val="178619DE"/>
    <w:rsid w:val="178E314E"/>
    <w:rsid w:val="18BD3F04"/>
    <w:rsid w:val="18C074B7"/>
    <w:rsid w:val="1A0963BA"/>
    <w:rsid w:val="1AEE3A8D"/>
    <w:rsid w:val="1B050CA6"/>
    <w:rsid w:val="1B2257FC"/>
    <w:rsid w:val="1BB36686"/>
    <w:rsid w:val="1D2F59B7"/>
    <w:rsid w:val="1D90100D"/>
    <w:rsid w:val="1D926A38"/>
    <w:rsid w:val="1DBE3F0B"/>
    <w:rsid w:val="1DBE4352"/>
    <w:rsid w:val="1E487961"/>
    <w:rsid w:val="201206AF"/>
    <w:rsid w:val="20332127"/>
    <w:rsid w:val="20C15623"/>
    <w:rsid w:val="221B56C1"/>
    <w:rsid w:val="22B85D0C"/>
    <w:rsid w:val="23045D1E"/>
    <w:rsid w:val="236E4538"/>
    <w:rsid w:val="23867B9C"/>
    <w:rsid w:val="23C66CA7"/>
    <w:rsid w:val="247173B1"/>
    <w:rsid w:val="251328D8"/>
    <w:rsid w:val="2541224C"/>
    <w:rsid w:val="254E08DB"/>
    <w:rsid w:val="25CC423B"/>
    <w:rsid w:val="25D57D2D"/>
    <w:rsid w:val="27233CD3"/>
    <w:rsid w:val="27CD2533"/>
    <w:rsid w:val="2AEE633E"/>
    <w:rsid w:val="2B516662"/>
    <w:rsid w:val="2BCF5C46"/>
    <w:rsid w:val="2C152752"/>
    <w:rsid w:val="2DC927BD"/>
    <w:rsid w:val="2E2826DF"/>
    <w:rsid w:val="2E8F73FB"/>
    <w:rsid w:val="2ED078C4"/>
    <w:rsid w:val="2FEE34B7"/>
    <w:rsid w:val="315D1E03"/>
    <w:rsid w:val="31783E21"/>
    <w:rsid w:val="31823015"/>
    <w:rsid w:val="32797E79"/>
    <w:rsid w:val="33876776"/>
    <w:rsid w:val="33C80E5D"/>
    <w:rsid w:val="33FC1E28"/>
    <w:rsid w:val="37B50C3D"/>
    <w:rsid w:val="38D267D2"/>
    <w:rsid w:val="39015C3B"/>
    <w:rsid w:val="399B6E67"/>
    <w:rsid w:val="3BBD48AB"/>
    <w:rsid w:val="3BC731DA"/>
    <w:rsid w:val="3C4D033A"/>
    <w:rsid w:val="3CA30775"/>
    <w:rsid w:val="3CDB55B6"/>
    <w:rsid w:val="3D312BC8"/>
    <w:rsid w:val="3D492791"/>
    <w:rsid w:val="3D756425"/>
    <w:rsid w:val="3E4304F5"/>
    <w:rsid w:val="3EBD482D"/>
    <w:rsid w:val="3EEA6BFA"/>
    <w:rsid w:val="3EED3830"/>
    <w:rsid w:val="3F060676"/>
    <w:rsid w:val="3F451182"/>
    <w:rsid w:val="3F6A1CEF"/>
    <w:rsid w:val="4001305E"/>
    <w:rsid w:val="40B86EAA"/>
    <w:rsid w:val="40FC7176"/>
    <w:rsid w:val="41521997"/>
    <w:rsid w:val="416F6F29"/>
    <w:rsid w:val="424E6206"/>
    <w:rsid w:val="43583484"/>
    <w:rsid w:val="436C36C5"/>
    <w:rsid w:val="44040610"/>
    <w:rsid w:val="44E070B7"/>
    <w:rsid w:val="45885C57"/>
    <w:rsid w:val="45B92EBC"/>
    <w:rsid w:val="467C2AD2"/>
    <w:rsid w:val="46D55E68"/>
    <w:rsid w:val="495D52CD"/>
    <w:rsid w:val="499F755A"/>
    <w:rsid w:val="4AA15A96"/>
    <w:rsid w:val="4B164AB0"/>
    <w:rsid w:val="4BFD3336"/>
    <w:rsid w:val="4C0C0130"/>
    <w:rsid w:val="4F7442C7"/>
    <w:rsid w:val="4FCF1473"/>
    <w:rsid w:val="51FC3401"/>
    <w:rsid w:val="52952DF0"/>
    <w:rsid w:val="52BD0F3C"/>
    <w:rsid w:val="52EA7884"/>
    <w:rsid w:val="52F44E83"/>
    <w:rsid w:val="5396595B"/>
    <w:rsid w:val="54B72B65"/>
    <w:rsid w:val="55C048C6"/>
    <w:rsid w:val="55C54F44"/>
    <w:rsid w:val="562B53FE"/>
    <w:rsid w:val="57E503E7"/>
    <w:rsid w:val="58850A9B"/>
    <w:rsid w:val="58E10370"/>
    <w:rsid w:val="59407424"/>
    <w:rsid w:val="596E397D"/>
    <w:rsid w:val="5B162F9A"/>
    <w:rsid w:val="5B3E7113"/>
    <w:rsid w:val="5B7A4A20"/>
    <w:rsid w:val="5D5C473C"/>
    <w:rsid w:val="5D6304C5"/>
    <w:rsid w:val="5E875F2E"/>
    <w:rsid w:val="5EE11948"/>
    <w:rsid w:val="5F312C68"/>
    <w:rsid w:val="61FB0969"/>
    <w:rsid w:val="621A7A39"/>
    <w:rsid w:val="63C216C1"/>
    <w:rsid w:val="642C45E4"/>
    <w:rsid w:val="64401E42"/>
    <w:rsid w:val="68632429"/>
    <w:rsid w:val="698A0E00"/>
    <w:rsid w:val="699D6740"/>
    <w:rsid w:val="6AFE46D1"/>
    <w:rsid w:val="6BFE5CD2"/>
    <w:rsid w:val="6C2C79D4"/>
    <w:rsid w:val="6C3D61E9"/>
    <w:rsid w:val="6C680556"/>
    <w:rsid w:val="6E5007E5"/>
    <w:rsid w:val="6F352C22"/>
    <w:rsid w:val="6FF25C15"/>
    <w:rsid w:val="705D5C7A"/>
    <w:rsid w:val="706D5DE8"/>
    <w:rsid w:val="73D11C75"/>
    <w:rsid w:val="74BC741D"/>
    <w:rsid w:val="74D51A9B"/>
    <w:rsid w:val="75485CB1"/>
    <w:rsid w:val="75F475EF"/>
    <w:rsid w:val="764A57A8"/>
    <w:rsid w:val="773607F6"/>
    <w:rsid w:val="779028D7"/>
    <w:rsid w:val="780A1B00"/>
    <w:rsid w:val="789B79FA"/>
    <w:rsid w:val="78E52FB5"/>
    <w:rsid w:val="792D6D3C"/>
    <w:rsid w:val="7AF9752E"/>
    <w:rsid w:val="7B437820"/>
    <w:rsid w:val="7D355E8C"/>
    <w:rsid w:val="7D4820C6"/>
    <w:rsid w:val="7D597D06"/>
    <w:rsid w:val="7DB75503"/>
    <w:rsid w:val="7DF42127"/>
    <w:rsid w:val="7E2D7BB5"/>
    <w:rsid w:val="7F727B7C"/>
    <w:rsid w:val="7FA309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3">
    <w:name w:val="heading 1"/>
    <w:basedOn w:val="1"/>
    <w:next w:val="1"/>
    <w:qFormat/>
    <w:uiPriority w:val="1"/>
    <w:pPr>
      <w:ind w:left="710"/>
      <w:outlineLvl w:val="1"/>
    </w:pPr>
    <w:rPr>
      <w:rFonts w:ascii="Microsoft JhengHei" w:hAnsi="Microsoft JhengHei" w:eastAsia="Microsoft JhengHei" w:cs="Microsoft JhengHei"/>
      <w:b/>
      <w:bCs/>
      <w:sz w:val="32"/>
      <w:szCs w:val="32"/>
      <w:lang w:val="zh-CN" w:eastAsia="zh-CN" w:bidi="zh-CN"/>
    </w:rPr>
  </w:style>
  <w:style w:type="character" w:default="1" w:styleId="8">
    <w:name w:val="Default Paragraph Font"/>
    <w:qFormat/>
    <w:uiPriority w:val="1"/>
  </w:style>
  <w:style w:type="table" w:default="1" w:styleId="7">
    <w:name w:val="Normal Table"/>
    <w:qFormat/>
    <w:uiPriority w:val="0"/>
    <w:tblPr>
      <w:tblCellMar>
        <w:top w:w="0" w:type="dxa"/>
        <w:left w:w="108" w:type="dxa"/>
        <w:bottom w:w="0" w:type="dxa"/>
        <w:right w:w="108" w:type="dxa"/>
      </w:tblCellMar>
    </w:tblPr>
  </w:style>
  <w:style w:type="paragraph" w:styleId="2">
    <w:name w:val="Title"/>
    <w:basedOn w:val="1"/>
    <w:next w:val="1"/>
    <w:qFormat/>
    <w:uiPriority w:val="10"/>
    <w:pPr>
      <w:spacing w:before="240" w:after="60"/>
      <w:jc w:val="center"/>
      <w:outlineLvl w:val="0"/>
    </w:pPr>
    <w:rPr>
      <w:rFonts w:ascii="Cambria" w:hAnsi="Cambria" w:eastAsia="宋体" w:cs="Times New Roman"/>
      <w:b/>
      <w:bCs/>
      <w:sz w:val="32"/>
      <w:szCs w:val="32"/>
    </w:rPr>
  </w:style>
  <w:style w:type="paragraph" w:styleId="4">
    <w:name w:val="Body Text"/>
    <w:basedOn w:val="1"/>
    <w:next w:val="1"/>
    <w:qFormat/>
    <w:uiPriority w:val="1"/>
    <w:rPr>
      <w:rFonts w:ascii="仿宋" w:hAnsi="仿宋" w:eastAsia="仿宋" w:cs="仿宋"/>
      <w:sz w:val="32"/>
      <w:szCs w:val="32"/>
      <w:lang w:val="zh-CN" w:eastAsia="zh-CN" w:bidi="zh-CN"/>
    </w:rPr>
  </w:style>
  <w:style w:type="paragraph" w:styleId="5">
    <w:name w:val="footer"/>
    <w:basedOn w:val="1"/>
    <w:qFormat/>
    <w:uiPriority w:val="0"/>
    <w:pPr>
      <w:tabs>
        <w:tab w:val="center" w:pos="4153"/>
        <w:tab w:val="right" w:pos="8306"/>
      </w:tabs>
      <w:snapToGrid w:val="0"/>
      <w:jc w:val="left"/>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character" w:styleId="10">
    <w:name w:val="Emphasis"/>
    <w:basedOn w:val="8"/>
    <w:qFormat/>
    <w:uiPriority w:val="0"/>
    <w:rPr>
      <w:i/>
    </w:rPr>
  </w:style>
  <w:style w:type="table" w:customStyle="1" w:styleId="11">
    <w:name w:val="Table Normal"/>
    <w:qFormat/>
    <w:uiPriority w:val="2"/>
    <w:tblPr>
      <w:tblCellMar>
        <w:top w:w="0" w:type="dxa"/>
        <w:left w:w="0" w:type="dxa"/>
        <w:bottom w:w="0" w:type="dxa"/>
        <w:right w:w="0" w:type="dxa"/>
      </w:tblCellMar>
    </w:tblPr>
  </w:style>
  <w:style w:type="paragraph" w:styleId="12">
    <w:name w:val="List Paragraph"/>
    <w:basedOn w:val="1"/>
    <w:qFormat/>
    <w:uiPriority w:val="1"/>
    <w:rPr>
      <w:lang w:val="zh-CN" w:eastAsia="zh-CN" w:bidi="zh-CN"/>
    </w:rPr>
  </w:style>
  <w:style w:type="paragraph" w:customStyle="1" w:styleId="13">
    <w:name w:val="Table Paragraph"/>
    <w:basedOn w:val="1"/>
    <w:qFormat/>
    <w:uiPriority w:val="1"/>
    <w:rPr>
      <w:lang w:val="zh-CN" w:eastAsia="zh-CN" w:bidi="zh-CN"/>
    </w:rPr>
  </w:style>
  <w:style w:type="paragraph" w:customStyle="1" w:styleId="14">
    <w:name w:val="Body text|1"/>
    <w:basedOn w:val="1"/>
    <w:qFormat/>
    <w:uiPriority w:val="0"/>
    <w:pPr>
      <w:widowControl w:val="0"/>
      <w:shd w:val="clear" w:color="auto" w:fill="auto"/>
      <w:spacing w:line="480" w:lineRule="auto"/>
      <w:ind w:firstLine="400"/>
    </w:pPr>
    <w:rPr>
      <w:rFonts w:ascii="宋体" w:hAnsi="宋体" w:eastAsia="宋体" w:cs="宋体"/>
      <w:u w:val="none"/>
      <w:shd w:val="clear" w:color="auto" w:fill="auto"/>
      <w:lang w:val="zh-TW" w:eastAsia="zh-TW" w:bidi="zh-TW"/>
    </w:rPr>
  </w:style>
  <w:style w:type="paragraph" w:customStyle="1" w:styleId="15">
    <w:name w:val="Other|1"/>
    <w:basedOn w:val="1"/>
    <w:qFormat/>
    <w:uiPriority w:val="0"/>
    <w:pPr>
      <w:widowControl w:val="0"/>
      <w:shd w:val="clear" w:color="auto" w:fill="auto"/>
      <w:spacing w:line="480" w:lineRule="auto"/>
      <w:ind w:firstLine="400"/>
    </w:pPr>
    <w:rPr>
      <w:rFonts w:ascii="宋体" w:hAnsi="宋体" w:eastAsia="宋体" w:cs="宋体"/>
      <w:u w:val="none"/>
      <w:shd w:val="clear" w:color="auto" w:fill="auto"/>
      <w:lang w:val="zh-TW" w:eastAsia="zh-TW" w:bidi="zh-TW"/>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Words>371</Words>
  <Characters>378</Characters>
  <Paragraphs>45</Paragraphs>
  <TotalTime>2</TotalTime>
  <ScaleCrop>false</ScaleCrop>
  <LinksUpToDate>false</LinksUpToDate>
  <CharactersWithSpaces>385</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2021-07-14T09:01:00Z</dcterms:created>
  <dc:creator>Administrator</dc:creator>
  <cp:lastModifiedBy>杜晓旭</cp:lastModifiedBy>
  <cp:lastPrinted>2021-07-14T09:40:00Z</cp:lastPrinted>
  <dcterms:modified xsi:type="dcterms:W3CDTF">2022-01-06T10:17:39Z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2021-07-13T00:00:00Z</vt:filetime>
  </property>
  <property fmtid="{D5CDD505-2E9C-101B-9397-08002B2CF9AE}" pid="3" name="Creator">
    <vt:lpwstr>WPS 文字</vt:lpwstr>
  </property>
  <property fmtid="{D5CDD505-2E9C-101B-9397-08002B2CF9AE}" pid="4" name="LastSaved">
    <vt:filetime>2021-07-14T00:00:00Z</vt:filetime>
  </property>
  <property fmtid="{D5CDD505-2E9C-101B-9397-08002B2CF9AE}" pid="5" name="KSOSaveFontToCloudKey">
    <vt:lpwstr>286924360_cloud</vt:lpwstr>
  </property>
  <property fmtid="{D5CDD505-2E9C-101B-9397-08002B2CF9AE}" pid="6" name="KSOProductBuildVer">
    <vt:lpwstr>2052-11.1.0.11194</vt:lpwstr>
  </property>
  <property fmtid="{D5CDD505-2E9C-101B-9397-08002B2CF9AE}" pid="7" name="ICV">
    <vt:lpwstr>1C0D1D67F64C4F5FA266FC5A1C4E64E7</vt:lpwstr>
  </property>
</Properties>
</file>